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FB" w:rsidRDefault="009B2B66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D54FB">
        <w:tc>
          <w:tcPr>
            <w:tcW w:w="6379" w:type="dxa"/>
          </w:tcPr>
          <w:p w:rsidR="008D54FB" w:rsidRDefault="009B2B66">
            <w:pPr>
              <w:spacing w:after="160"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1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Teslina </w:t>
            </w:r>
            <w:r>
              <w:rPr>
                <w:rFonts w:eastAsiaTheme="minorHAnsi"/>
                <w:sz w:val="22"/>
                <w:lang w:eastAsia="en-US"/>
              </w:rP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112-02/25-01/35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2181-1-277-25-1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03.11.2025. </w:t>
            </w:r>
          </w:p>
          <w:p w:rsidR="008D54FB" w:rsidRDefault="008D54F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:rsidR="008D54FB" w:rsidRDefault="008D54F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:rsidR="008D54FB" w:rsidRDefault="008D54F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8D54FB" w:rsidRDefault="009B2B6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Na temelju članka 107. Zakona o odgoju i obrazovanju u osnovnoj i srednjoj školi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( NN, br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 xml:space="preserve">oj: 87/08, 86/09, 92/10, 105/10, 90/11,16/12.,86/12, 94/13, 152/14, 7/17, 68/18, 98/19 ,64/20, 151/22, 153/23  I 156/23) </w:t>
      </w:r>
      <w:r>
        <w:rPr>
          <w:sz w:val="20"/>
          <w:szCs w:val="20"/>
        </w:rPr>
        <w:t xml:space="preserve"> i Pravilnika o postupku  zapošljavanja te procjeni i vrednovanju kandidata za zapošljavanje  Osnovne škole Spinut, Split, ravnateljica</w:t>
      </w:r>
      <w:r>
        <w:rPr>
          <w:sz w:val="20"/>
          <w:szCs w:val="20"/>
        </w:rPr>
        <w:t xml:space="preserve"> Osnovne škole Spinut, Split, Teslina 12, Sanja Čagalj, prof., raspisuje </w:t>
      </w: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raspisuje</w:t>
      </w:r>
    </w:p>
    <w:p w:rsidR="008D54FB" w:rsidRDefault="009B2B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NATJEČAJ</w:t>
      </w:r>
    </w:p>
    <w:p w:rsidR="008D54FB" w:rsidRDefault="009B2B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radno mjesto</w:t>
      </w:r>
    </w:p>
    <w:p w:rsidR="008D54FB" w:rsidRDefault="008D54FB">
      <w:pPr>
        <w:rPr>
          <w:b/>
          <w:sz w:val="20"/>
          <w:szCs w:val="20"/>
        </w:rPr>
      </w:pPr>
    </w:p>
    <w:p w:rsidR="008D54FB" w:rsidRDefault="009B2B66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Učitelj/ica edukator rehabilitator (nastava u kući) -1 izvršitelj/ica na određeno i nepuno radno vrijeme, 20 sat tjedno (20/40), do kraja  nastavn</w:t>
      </w:r>
      <w:r>
        <w:rPr>
          <w:b/>
          <w:sz w:val="20"/>
          <w:szCs w:val="20"/>
        </w:rPr>
        <w:t>e godine, do 12.06.2026.</w:t>
      </w:r>
    </w:p>
    <w:p w:rsidR="008D54FB" w:rsidRDefault="008D54FB">
      <w:pPr>
        <w:rPr>
          <w:b/>
          <w:sz w:val="20"/>
          <w:szCs w:val="20"/>
        </w:rPr>
      </w:pPr>
    </w:p>
    <w:p w:rsidR="008D54FB" w:rsidRDefault="009B2B66">
      <w:pPr>
        <w:rPr>
          <w:sz w:val="20"/>
          <w:szCs w:val="20"/>
        </w:rPr>
      </w:pPr>
      <w:r>
        <w:rPr>
          <w:sz w:val="20"/>
          <w:szCs w:val="20"/>
        </w:rPr>
        <w:t>UVJETI: Uz opće uvjete za zasnivanje radnog odnosa prema Zakonu o radu, kandidati moraju ispuniti i posebne uvjete:</w:t>
      </w:r>
    </w:p>
    <w:p w:rsidR="008D54FB" w:rsidRDefault="009B2B66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Prema Zakonu o odgoju i obrazovanju u osnovnoj i srednjoj školi,</w:t>
      </w:r>
      <w:r>
        <w:rPr>
          <w:sz w:val="22"/>
          <w:szCs w:val="22"/>
        </w:rPr>
        <w:t xml:space="preserve"> Pravilniku o odgovarajućoj vrsti obrazovanja učitelja i stručnih suradnika u osnovnoj školi</w:t>
      </w:r>
      <w:r>
        <w:rPr>
          <w:color w:val="000000"/>
          <w:sz w:val="22"/>
          <w:szCs w:val="22"/>
          <w:shd w:val="clear" w:color="auto" w:fill="F4F4F6"/>
        </w:rPr>
        <w:t xml:space="preserve"> (NN 6/2019  ).</w:t>
      </w:r>
    </w:p>
    <w:p w:rsidR="008D54FB" w:rsidRDefault="008D54FB">
      <w:pPr>
        <w:ind w:left="360"/>
        <w:rPr>
          <w:sz w:val="20"/>
          <w:szCs w:val="20"/>
        </w:rPr>
      </w:pPr>
    </w:p>
    <w:p w:rsidR="008D54FB" w:rsidRDefault="009B2B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Uz vlastoručno potpisanu prijavu na natječaj</w:t>
      </w:r>
      <w:r>
        <w:rPr>
          <w:sz w:val="20"/>
          <w:szCs w:val="20"/>
        </w:rPr>
        <w:t xml:space="preserve"> u kojoj kandidati navode radno mjesto na koje se prijavljuje i osobne podatke pomoću kojih će mu biti dostavljena obavijest o datumu postupka procjene odnosno testiranja (osobno ime, adresa stanovanja, broj telefona i/ili mobitela, e-mail adresu) potrebno</w:t>
      </w:r>
      <w:r>
        <w:rPr>
          <w:sz w:val="20"/>
          <w:szCs w:val="20"/>
        </w:rPr>
        <w:t xml:space="preserve"> je  priložiti:</w:t>
      </w:r>
    </w:p>
    <w:p w:rsidR="008D54FB" w:rsidRDefault="009B2B6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životopis</w:t>
      </w:r>
    </w:p>
    <w:p w:rsidR="008D54FB" w:rsidRDefault="009B2B6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dokaz  o ogovarajućem stupnju obrazovanja (diploma)</w:t>
      </w: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849"/>
        <w:gridCol w:w="5571"/>
      </w:tblGrid>
      <w:tr w:rsidR="008D54FB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bold"/>
                <w:rFonts w:ascii="Minion Pro" w:hAnsi="Minion Pro"/>
                <w:b/>
                <w:bCs/>
                <w:sz w:val="18"/>
                <w:szCs w:val="18"/>
              </w:rPr>
              <w:t>STUDIJSKI PROGRAM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bold"/>
                <w:rFonts w:ascii="Minion Pro" w:hAnsi="Minion Pro"/>
                <w:b/>
                <w:bCs/>
                <w:sz w:val="18"/>
                <w:szCs w:val="18"/>
              </w:rPr>
              <w:t>VRSTA I RAZINA STUDIJA</w:t>
            </w: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bold"/>
                <w:rFonts w:ascii="Minion Pro" w:hAnsi="Minion Pro"/>
                <w:b/>
                <w:bCs/>
                <w:sz w:val="18"/>
                <w:szCs w:val="18"/>
              </w:rPr>
              <w:t>STEČENI AKADEMSKI NAZIV</w:t>
            </w:r>
          </w:p>
        </w:tc>
      </w:tr>
      <w:tr w:rsidR="008D54F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bold-kurziv"/>
                <w:rFonts w:ascii="Minion Pro" w:hAnsi="Minion Pro"/>
                <w:b/>
                <w:bCs/>
                <w:i/>
                <w:iCs/>
                <w:sz w:val="20"/>
                <w:szCs w:val="20"/>
              </w:rPr>
              <w:t>Edukacijska rehabilitacija</w:t>
            </w:r>
          </w:p>
          <w:p w:rsidR="008D54FB" w:rsidRDefault="008D54FB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magistar edukacijske rehabilitacije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profesor defektolog – smjer rehabilitacija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profesor defektolog – opći smjer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diplomirani defektolog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diplomirani defektolog-nastavnik/učitelj razredne nastave, smjer: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mentalna retardacija i oštećenje govora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poremećaji u ponašanju i mentalna retardacija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oštećenja govora i mentalna retardacija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oštećenja vida i mentalna retardacija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tjelesna invalidnost i mentalna retardacija</w:t>
            </w:r>
          </w:p>
        </w:tc>
      </w:tr>
      <w:tr w:rsidR="008D54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bold"/>
                <w:rFonts w:ascii="Minion Pro" w:hAnsi="Minion Pro"/>
                <w:b/>
                <w:bCs/>
                <w:sz w:val="18"/>
                <w:szCs w:val="18"/>
              </w:rPr>
              <w:lastRenderedPageBreak/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logoped profesor defektolog – smjer oštećenja govora</w:t>
            </w:r>
          </w:p>
        </w:tc>
      </w:tr>
      <w:tr w:rsidR="008D54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profesor defektolog, smjer: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mentalna retardacija i oštećenje govora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oštećenje sluha i oštećenja govora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oštećenje govora i mentalna retardacija</w:t>
            </w:r>
          </w:p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kurziv"/>
                <w:rFonts w:ascii="Minion Pro" w:hAnsi="Minion Pro"/>
                <w:i/>
                <w:iCs/>
                <w:sz w:val="20"/>
                <w:szCs w:val="20"/>
              </w:rPr>
              <w:t>    oštećenje govora i oštećenje sluha</w:t>
            </w:r>
          </w:p>
        </w:tc>
      </w:tr>
      <w:tr w:rsidR="008D54F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  <w:r>
              <w:rPr>
                <w:rStyle w:val="bold"/>
                <w:rFonts w:ascii="Minion Pro" w:hAnsi="Minion Pro"/>
                <w:b/>
                <w:bCs/>
                <w:sz w:val="20"/>
                <w:szCs w:val="20"/>
              </w:rPr>
              <w:t>Socijalna pedagogija</w:t>
            </w:r>
          </w:p>
          <w:p w:rsidR="008D54FB" w:rsidRDefault="008D54FB">
            <w:pPr>
              <w:pStyle w:val="t-9"/>
              <w:spacing w:before="0" w:beforeAutospacing="0" w:after="0" w:afterAutospacing="0"/>
              <w:textAlignment w:val="baseline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profesor defektolog</w:t>
            </w:r>
          </w:p>
        </w:tc>
      </w:tr>
      <w:tr w:rsidR="008D54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54FB" w:rsidRDefault="008D54FB">
            <w:pPr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54FB" w:rsidRDefault="009B2B66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Style w:val="kurziv"/>
                <w:rFonts w:ascii="Minion Pro" w:hAnsi="Minion Pro"/>
                <w:i/>
                <w:iCs/>
                <w:sz w:val="18"/>
                <w:szCs w:val="18"/>
              </w:rPr>
              <w:t>    socijalni pedagog – prof. defektolog, smjer: poremećaji u ponašanju i mentalna retardacija</w:t>
            </w:r>
          </w:p>
        </w:tc>
      </w:tr>
    </w:tbl>
    <w:p w:rsidR="008D54FB" w:rsidRDefault="008D54FB">
      <w:pPr>
        <w:ind w:left="720"/>
        <w:rPr>
          <w:sz w:val="20"/>
          <w:szCs w:val="20"/>
        </w:rPr>
      </w:pPr>
    </w:p>
    <w:p w:rsidR="008D54FB" w:rsidRDefault="009B2B6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dokaz o državljanstvu </w:t>
      </w:r>
    </w:p>
    <w:p w:rsidR="008D54FB" w:rsidRDefault="009B2B6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uvjerenje nadležnog suda da podnositelj prijave nije pod istragom i da se protiv podnositelja prijave ne vodi kazneni postupak glede zapreka za zasnivanje radnog odnosa iz članka 106. Zakona (ne starije od 30 dana na dan raspisivanja natječaja)</w:t>
      </w:r>
    </w:p>
    <w:p w:rsidR="008D54FB" w:rsidRDefault="009B2B6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elektroničk</w:t>
      </w:r>
      <w:r>
        <w:rPr>
          <w:sz w:val="20"/>
          <w:szCs w:val="20"/>
        </w:rPr>
        <w:t>i zapis ili potvrdu o podacima evidentiranim u bazi podataka Hrvatskog zavoda za mirovinsko osiguranje</w:t>
      </w:r>
    </w:p>
    <w:p w:rsidR="008D54FB" w:rsidRDefault="008D54FB">
      <w:pPr>
        <w:ind w:left="720"/>
        <w:rPr>
          <w:sz w:val="20"/>
          <w:szCs w:val="20"/>
        </w:rPr>
      </w:pP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 Za tražene priloge i isprave, prijavi se prilaže njihova  neovjerena preslika.</w:t>
      </w:r>
    </w:p>
    <w:p w:rsidR="008D54FB" w:rsidRDefault="009B2B66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Prije sklapanja ugovora o radu odabrani</w:t>
      </w:r>
      <w:r>
        <w:rPr>
          <w:rFonts w:asciiTheme="minorHAnsi" w:eastAsia="Calibri" w:hAnsiTheme="minorHAnsi" w:cstheme="minorHAnsi"/>
          <w:sz w:val="22"/>
          <w:szCs w:val="22"/>
        </w:rPr>
        <w:t xml:space="preserve"> kandidat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:rsidR="008D54FB" w:rsidRDefault="008D54FB">
      <w:pPr>
        <w:jc w:val="both"/>
        <w:rPr>
          <w:sz w:val="20"/>
          <w:szCs w:val="20"/>
        </w:rPr>
      </w:pP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natječaj se </w:t>
      </w:r>
      <w:r>
        <w:rPr>
          <w:sz w:val="20"/>
          <w:szCs w:val="20"/>
        </w:rPr>
        <w:t>mogu javiti osobe oba spola. Izrazi koji se koriste u natječaju, a imaju rodno značenje koriste se neutralno i odnose se jednako na muške i na ženske osobe.</w:t>
      </w: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Radni odnos u školi ne može zasnovati osoba za koju postoje zapreke iz članka 106. Zakona. Prijavom</w:t>
      </w:r>
      <w:r>
        <w:rPr>
          <w:sz w:val="20"/>
          <w:szCs w:val="20"/>
        </w:rPr>
        <w:t xml:space="preserve"> na natječaj kandidat daje privolu za obradu osobnih podataka navedenih u svim prilozima i ispravama, za potrebe provedbe natječaja.</w:t>
      </w:r>
    </w:p>
    <w:p w:rsidR="008D54FB" w:rsidRDefault="008D54FB">
      <w:pPr>
        <w:rPr>
          <w:sz w:val="20"/>
          <w:szCs w:val="20"/>
        </w:rPr>
      </w:pP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Rok za podnošenje prijava je 8 dana od dana objave natječaja na mrežnoj stranici Škole, te mrežnoj stranici i oglasnoj plo</w:t>
      </w:r>
      <w:r>
        <w:rPr>
          <w:sz w:val="20"/>
          <w:szCs w:val="20"/>
        </w:rPr>
        <w:t>či Hrvatskog zavoda za zapošljavanje.</w:t>
      </w:r>
    </w:p>
    <w:p w:rsidR="008D54FB" w:rsidRDefault="008D54FB">
      <w:pPr>
        <w:jc w:val="both"/>
        <w:rPr>
          <w:sz w:val="20"/>
          <w:szCs w:val="20"/>
        </w:rPr>
      </w:pPr>
    </w:p>
    <w:p w:rsidR="008D54FB" w:rsidRDefault="009B2B6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Prijave sa potrebnom dokumentacijom mogu se dostaviti neposredno ili poštom na adresu Škole: Osnovna škola Spinut, Teslina 12, 21000 Split, s naznakom «za natječaj-naziv radnog mjesta za koje se kandidat prijavljuje:</w:t>
      </w:r>
      <w:r>
        <w:rPr>
          <w:b/>
          <w:sz w:val="20"/>
          <w:szCs w:val="20"/>
        </w:rPr>
        <w:t>U</w:t>
      </w:r>
      <w:r>
        <w:rPr>
          <w:b/>
          <w:sz w:val="20"/>
          <w:szCs w:val="20"/>
        </w:rPr>
        <w:t>ČITELJ EDUKATOR REHABILITATOR- nastava u kući.</w:t>
      </w: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u natječajnom postupku smatra se osoba koja je podnijela urednu, pravovremenu i vlastoručno potpisanu prijavu na natječaj zajedno sa svim prilozima te koja ispunjava uvjete natječaja.</w:t>
      </w:r>
    </w:p>
    <w:p w:rsidR="008D54FB" w:rsidRDefault="008D54FB">
      <w:pPr>
        <w:jc w:val="both"/>
        <w:rPr>
          <w:sz w:val="20"/>
          <w:szCs w:val="20"/>
        </w:rPr>
      </w:pPr>
    </w:p>
    <w:p w:rsidR="008D54FB" w:rsidRDefault="009B2B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Nepravodobne </w:t>
      </w:r>
      <w:r>
        <w:rPr>
          <w:sz w:val="20"/>
          <w:szCs w:val="20"/>
        </w:rPr>
        <w:t>i nepotpune prijave neće se razmatrati. Osoba koja ne podnese pravovremenu i potpunu prijavu ili ne ispunjava formalne uvjete iz natječaja ne sudjeluje u daljnjem postupku izbora kandidata. Kandidat koji su sudjelovali u postupku izbora kandidata, a nisu i</w:t>
      </w:r>
      <w:r>
        <w:rPr>
          <w:sz w:val="20"/>
          <w:szCs w:val="20"/>
        </w:rPr>
        <w:t>zabrani, bit će obaviješteni u zakonskom roku.</w:t>
      </w:r>
    </w:p>
    <w:p w:rsidR="008D54FB" w:rsidRDefault="009B2B66">
      <w:pPr>
        <w:rPr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Kandidat koji ostvaruje pravo prednosti pri zapošljavanju prema posebnim propisima dužan je u prijavi na natječaj pozvati se na to pravo i ima prednost u odnosu na ostale kandidate samo pod jednakim uvjetima.</w:t>
      </w:r>
      <w:r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  <w:shd w:val="clear" w:color="auto" w:fill="FFFFFF"/>
        </w:rPr>
        <w:t>Da bi ostvario prednost pri zapošljavanju, kandidat koji ispunjava uvjete za ostvarivanje tog prava, dužan je uz prijavu na natječaj priložiti sve dokaze o ispunjavanju traženih uvjeta, kao i potvrdu o priznatom statusu iz kojeg proizlazi to pravo.</w:t>
      </w:r>
      <w:r>
        <w:rPr>
          <w:color w:val="333333"/>
          <w:sz w:val="20"/>
          <w:szCs w:val="20"/>
        </w:rPr>
        <w:br/>
      </w:r>
    </w:p>
    <w:p w:rsidR="008D54FB" w:rsidRDefault="009B2B66">
      <w:pPr>
        <w:pStyle w:val="box8249682"/>
        <w:spacing w:after="161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Kandid</w:t>
      </w:r>
      <w:r>
        <w:rPr>
          <w:rFonts w:asciiTheme="majorHAnsi" w:hAnsiTheme="majorHAnsi" w:cstheme="majorHAnsi"/>
          <w:sz w:val="20"/>
          <w:szCs w:val="20"/>
        </w:rPr>
        <w:t xml:space="preserve">at koji se poziva na pravo prednosti pri zapošljavanju na </w:t>
      </w:r>
      <w:r>
        <w:rPr>
          <w:rFonts w:asciiTheme="majorHAnsi" w:hAnsiTheme="majorHAnsi" w:cstheme="majorHAnsi"/>
          <w:sz w:val="20"/>
          <w:szCs w:val="20"/>
          <w:lang w:val="pl-PL"/>
        </w:rPr>
        <w:t xml:space="preserve">temelju </w:t>
      </w:r>
      <w:r>
        <w:rPr>
          <w:rFonts w:asciiTheme="majorHAnsi" w:hAnsiTheme="majorHAnsi" w:cstheme="majorHAnsi"/>
          <w:sz w:val="20"/>
          <w:szCs w:val="20"/>
        </w:rPr>
        <w:t xml:space="preserve">članka 102.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dužan je uz prijavu na natječaj pored navedenih isprava odnosno priloga priložiti i sve potrebne</w:t>
      </w:r>
      <w:r>
        <w:rPr>
          <w:rFonts w:asciiTheme="majorHAnsi" w:hAnsiTheme="majorHAnsi" w:cstheme="majorHAnsi"/>
          <w:sz w:val="20"/>
          <w:szCs w:val="20"/>
        </w:rPr>
        <w:t xml:space="preserve"> dokaze iz članka 103. stavka 1.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koji su dostupni na poveznici na internetsku stranicu Ministarstva hrvatskih branitelja: </w:t>
      </w:r>
      <w:hyperlink r:id="rId9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</w:t>
        </w:r>
        <w:r>
          <w:rPr>
            <w:rStyle w:val="Hiperveza"/>
            <w:rFonts w:asciiTheme="majorHAnsi" w:hAnsiTheme="majorHAnsi" w:cstheme="majorHAnsi"/>
            <w:sz w:val="20"/>
            <w:szCs w:val="20"/>
          </w:rPr>
          <w:t>ljavanju-%20ZOHBDR%202021.pdf</w:t>
        </w:r>
      </w:hyperlink>
    </w:p>
    <w:p w:rsidR="008D54FB" w:rsidRDefault="009B2B66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Kandidat koji se poziva na pravo prednosti pri zapošljavanju na temelju članka 48. stavaka 1. do 3. Zakona o civilnim stradalnicima iz Domovinskog rata (Narodne novine, broj: 84/21) dužan je uz prijavu na natječaj pored navedenih isprava odnosno priloga pr</w:t>
      </w:r>
      <w:r>
        <w:rPr>
          <w:rFonts w:asciiTheme="majorHAnsi" w:hAnsiTheme="majorHAnsi" w:cstheme="majorHAnsi"/>
          <w:sz w:val="20"/>
          <w:szCs w:val="20"/>
        </w:rPr>
        <w:t xml:space="preserve">iložiti i sve potrebne dokaze iz članka 49. stavka 1. Zakona o civilnim stradalnicima iz Domovinskog rata koji su dostupni na poveznici: </w:t>
      </w:r>
    </w:p>
    <w:p w:rsidR="008D54FB" w:rsidRDefault="009B2B66">
      <w:pPr>
        <w:rPr>
          <w:rStyle w:val="Hiperveza"/>
          <w:rFonts w:asciiTheme="majorHAnsi" w:hAnsiTheme="majorHAnsi" w:cstheme="majorHAnsi"/>
          <w:sz w:val="20"/>
          <w:szCs w:val="20"/>
        </w:rPr>
      </w:pPr>
      <w:hyperlink r:id="rId10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https://branitelji.gov.hr/UserDocsImages//dokumenti/Nikola//popis%20dokaza%20za%20ostvarivanje%20prava%20prednosti%20pri%20zapo%C5%A1ljavanju-%20Zakon%20o%20civilnim%</w:t>
        </w:r>
        <w:r>
          <w:rPr>
            <w:rStyle w:val="Hiperveza"/>
            <w:rFonts w:asciiTheme="majorHAnsi" w:hAnsiTheme="majorHAnsi" w:cstheme="majorHAnsi"/>
            <w:sz w:val="20"/>
            <w:szCs w:val="20"/>
          </w:rPr>
          <w:t>20stradalnicima%20iz%20DR.pdf</w:t>
        </w:r>
      </w:hyperlink>
    </w:p>
    <w:p w:rsidR="008D54FB" w:rsidRDefault="008D54FB">
      <w:pPr>
        <w:rPr>
          <w:sz w:val="20"/>
          <w:szCs w:val="20"/>
        </w:rPr>
      </w:pPr>
    </w:p>
    <w:p w:rsidR="008D54FB" w:rsidRDefault="008D54FB">
      <w:pPr>
        <w:rPr>
          <w:sz w:val="20"/>
          <w:szCs w:val="20"/>
        </w:rPr>
      </w:pPr>
    </w:p>
    <w:p w:rsidR="008D54FB" w:rsidRDefault="009B2B66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Kandidat </w:t>
      </w:r>
      <w:r>
        <w:rPr>
          <w:color w:val="000000"/>
          <w:sz w:val="20"/>
          <w:szCs w:val="20"/>
        </w:rPr>
        <w:t xml:space="preserve">prijavom na natječaj </w:t>
      </w:r>
      <w:r>
        <w:rPr>
          <w:sz w:val="20"/>
          <w:szCs w:val="20"/>
        </w:rPr>
        <w:t xml:space="preserve">daje </w:t>
      </w:r>
      <w:r>
        <w:rPr>
          <w:color w:val="000000"/>
          <w:sz w:val="20"/>
          <w:szCs w:val="20"/>
        </w:rPr>
        <w:t>privolu za obradu osobnih podataka navedenih u svim dostavljenim prilozima odnosno ispravama za potrebe provedbe javnog natječaja</w:t>
      </w:r>
      <w:r>
        <w:rPr>
          <w:sz w:val="20"/>
          <w:szCs w:val="20"/>
        </w:rPr>
        <w:t xml:space="preserve"> sukladno važećim propisima o zaštiti osobnih podataka.</w:t>
      </w:r>
    </w:p>
    <w:p w:rsidR="008D54FB" w:rsidRDefault="009B2B6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8D54FB" w:rsidRDefault="009B2B6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8D54FB" w:rsidRDefault="009B2B6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Kandidatima prijavljenim na natječaj koji ispunjavaju formalne uvjete natječaja, te čije su prijave pravodobne i potpune Povjerenstvo će uputiti poziv putem elektroničke pošte koju kandidati navedu u prijavi najmanje pet dana prije dana određenog za procje</w:t>
      </w:r>
      <w:r>
        <w:rPr>
          <w:sz w:val="20"/>
          <w:szCs w:val="20"/>
        </w:rPr>
        <w:t>nu odnosno testiranje. Kandidati su obvezni pristupiti procjeni odnosno testiranju. Ako kandidat ne pristupi procjeni odnosno testiranju, smatra se da je odustao od prijave na natječaj. Način procjene i vrednovanja kandidata te pravni i drugi izvori za pri</w:t>
      </w:r>
      <w:r>
        <w:rPr>
          <w:sz w:val="20"/>
          <w:szCs w:val="20"/>
        </w:rPr>
        <w:t>premu kandidata za testiranje, bit će objavljeni na mrežnoj stranici Škole, poveznica: http://os-spinut-st.skole.hr/natje_aj. Poziv na procjenu kandidatima će biti poslan elektroničkom poštom i objavljen na mrežnoj stranici Škole. O rezultatima natječaja k</w:t>
      </w:r>
      <w:r>
        <w:rPr>
          <w:sz w:val="20"/>
          <w:szCs w:val="20"/>
        </w:rPr>
        <w:t>andidati će biti obaviješteni u  roku 15 dana  od dana donošenja odluke o izboru kandidata</w:t>
      </w:r>
    </w:p>
    <w:p w:rsidR="008D54FB" w:rsidRDefault="008D54FB">
      <w:pPr>
        <w:rPr>
          <w:b/>
          <w:sz w:val="20"/>
          <w:szCs w:val="20"/>
        </w:rPr>
      </w:pPr>
    </w:p>
    <w:p w:rsidR="008D54FB" w:rsidRDefault="009B2B66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Ravnateljica:</w:t>
      </w:r>
    </w:p>
    <w:p w:rsidR="008D54FB" w:rsidRDefault="009B2B66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Sanja Čagalj, prof.</w:t>
      </w:r>
    </w:p>
    <w:sectPr w:rsidR="008D5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66" w:rsidRDefault="009B2B66">
      <w:r>
        <w:separator/>
      </w:r>
    </w:p>
  </w:endnote>
  <w:endnote w:type="continuationSeparator" w:id="0">
    <w:p w:rsidR="009B2B66" w:rsidRDefault="009B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FB" w:rsidRDefault="008D54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3174"/>
      <w:docPartObj>
        <w:docPartGallery w:val="Page Numbers (Bottom of Page)"/>
        <w:docPartUnique/>
      </w:docPartObj>
    </w:sdtPr>
    <w:sdtEndPr/>
    <w:sdtContent>
      <w:p w:rsidR="008D54FB" w:rsidRDefault="009B2B6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54FB" w:rsidRDefault="008D54F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FB" w:rsidRDefault="008D54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66" w:rsidRDefault="009B2B66">
      <w:r>
        <w:separator/>
      </w:r>
    </w:p>
  </w:footnote>
  <w:footnote w:type="continuationSeparator" w:id="0">
    <w:p w:rsidR="009B2B66" w:rsidRDefault="009B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FB" w:rsidRDefault="008D54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FB" w:rsidRDefault="008D54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FB" w:rsidRDefault="008D54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455B"/>
    <w:multiLevelType w:val="multilevel"/>
    <w:tmpl w:val="79A065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FB"/>
    <w:rsid w:val="001F773C"/>
    <w:rsid w:val="008D54FB"/>
    <w:rsid w:val="009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52FA9-DB64-4AB1-B798-640F4963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/>
    </w:p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-kurziv">
    <w:name w:val="bold-kurziv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Sandra</cp:lastModifiedBy>
  <cp:revision>2</cp:revision>
  <cp:lastPrinted>2022-02-15T12:59:00Z</cp:lastPrinted>
  <dcterms:created xsi:type="dcterms:W3CDTF">2025-11-03T11:16:00Z</dcterms:created>
  <dcterms:modified xsi:type="dcterms:W3CDTF">2025-11-03T11:16:00Z</dcterms:modified>
</cp:coreProperties>
</file>