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64e4989b4a4ccd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13326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 Osnovna škola Spinut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2.308.992,74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2.418.768,59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2.243.223,56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2.510.625,73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91.857,14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377,06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237,50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66.601,51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77.955,65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66.224,45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77.718,15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117,4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455,27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169.575,29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&gt;&gt;100</w:t>
            </w:r>
          </w:p>
        </w:tc>
      </w:tr>
    </w:tbl>
    <w:p>
      <w:pPr>
        <w:spacing w:before="0" w:after="0"/>
      </w:pPr>
    </w:p>
    <w:p>
      <w:r>
        <w:t xml:space="preserve">Osnovna škola  Spinut posluje u skladu sa Zakonom o odgoju i obrazovanju u osnovnoj i srednjoj školi, te Statutom škole. Vodi proračunsko računovodstvo temeljem Pravilnika o proračunskom računovodstvu i Računskom planu, te financijske izvještaje sastavlja i predaje u skladu s odredbama Pravilnika o financijskom izvještavanju u proračunskom računovodstvu.</w:t>
      </w:r>
    </w:p>
    <w:p>
      <w:r>
        <w:t xml:space="preserve"> </w:t>
      </w:r>
    </w:p>
    <w:p>
      <w:r>
        <w:t xml:space="preserve">Prihodi ostvareni za navedeno razdoblje za koje se podnosi financijski izvještaj, ostvareni su iz slijedećih izvora financiranja :</w:t>
      </w:r>
    </w:p>
    <w:p>
      <w:r>
        <w:t xml:space="preserve">Prihodi za rashode za ostvarivanje redovne djelatnosti osnovnoškolskog obrazovanja – redovni materijalni rashodi, tekući popravci -troškovi za materijal i usluge, za nabavu knjiga za knjižnicu,  plaća zaposlenih u produženom boravku, te troškovi energenata, pregleda zaposlenika i nadogradnje računala iz proračunskih sredstava GRADA SPLITA.</w:t>
      </w:r>
    </w:p>
    <w:p>
      <w:r>
        <w:t xml:space="preserve">Troškovi za plaće i materijalna prava pomoćnika nastavi, financirane su gotovo u potpunosti iz EU sredstava, posredstvom osnivača Grada Splita.</w:t>
      </w:r>
    </w:p>
    <w:p>
      <w:r>
        <w:t xml:space="preserve">Manjim dijelom (Dar djeci, te dio plaća za PUN  financiran iz proračunskih sredstava Grada Splita.</w:t>
      </w:r>
    </w:p>
    <w:p>
      <w:r>
        <w:t xml:space="preserve">Prihodi za rashode za zaposlene (plaće za redovan rad, naknade, nagrade, darove za djecu, otpremnine, mentorstva i sl.), prihodi za županijska stručna vijeća, te financiranje didaktičke opreme i prehrane za posebnu skupinu su prihodi od Ministarstva znanosti, obrazovanja i mladih.</w:t>
      </w:r>
    </w:p>
    <w:p>
      <w:r>
        <w:t xml:space="preserve">Učeničke i roditeljske uplate za participaciju učeničkih troškova (sufinanciranje troškova produženog boravka, osiguranja učenika i sl.)</w:t>
      </w:r>
    </w:p>
    <w:p>
      <w:r>
        <w:t xml:space="preserve">Vlastiti prihodi ostvareni su od prodaje robe na Akciji „Naša škola naša briga“, te od prodaje  rashodovane imovine iz školske kuhinje.</w:t>
      </w:r>
    </w:p>
    <w:p>
      <w:r>
        <w:t xml:space="preserve">Ukupni prihodi poslovanja iznose 2.418.768,59 €, a rashodi 2.510.625,73 €; manjak prihoda poslovanja je 91.857,14  €. Rashodi za nabavu nefinancijske imovine iznose 77.955,65 €, prihodi su 237,50 €. stoga i manjak prihoda od nefinancijske imovine iznosi 77.718,15 €. </w:t>
      </w:r>
    </w:p>
    <w:p>
      <w:r>
        <w:t xml:space="preserve">Ukupni manjak  tekućeg razdoblja iznosi 169.575,29  preneseni manjak iz 2024.g.  45.473,26 € , što rezultira ukupnim manjkom  u iznosu od  215.048,55 €. Od ukupnog manjka potražujemo od MZOM za plaću i materijalna prava za 12/2025 146.297,11.</w:t>
      </w:r>
    </w:p>
    <w:p>
      <w:r>
        <w:t xml:space="preserve">Izvještaj za 2025 sadrži trošak 13 mjeseci plaća za zaposlene, a prihod smo dobili za 12 mjeseci. Također od MZOM potražujemo i 9.931,11 € za prehranu učenika za 12/2025.</w:t>
      </w:r>
    </w:p>
    <w:p>
      <w:r>
        <w:t xml:space="preserve">Prihodi od MZO za tekuće troškove su povećani za 8,7% u odnosu na isto razdoblje prethodne godine radi povećanog troška plaća uslijed povećanja plaća temeljem novog kolektivnog ugovora.</w:t>
      </w:r>
    </w:p>
    <w:p>
      <w:r>
        <w:t xml:space="preserve">Prihodi od MZO za kapitalne pomoći su povećani za 6867% jer nam je MZOM u 2025 doznačio sredstva za nabavu udžbenika za 2024. i za 2025.godinu.</w:t>
      </w:r>
    </w:p>
    <w:p>
      <w:r>
        <w:t xml:space="preserve">Prihodi na skupini 661 su povećani za 19% radi veće prodaje proizvoda na školskoj akciji u odnosu na prethodno razdoblje. </w:t>
      </w:r>
    </w:p>
    <w:p>
      <w:r>
        <w:t xml:space="preserve">Prihodi na skupini 6711 (prihodi od Grada) su smanjeni 9,7% radi manjeg ulaganja u tekuće i invensticijsko održavanje u odnosu na prethodno razdoblje.</w:t>
      </w:r>
    </w:p>
    <w:p>
      <w:r>
        <w:t xml:space="preserve">Prihodi na skupini 6712 su manji za 8,9 % u odnosu na prethodno razdoblje radi manje nabavke nefinancijske imovine koju financira Grad u odnosu na prethodnu godinu.</w:t>
      </w:r>
    </w:p>
    <w:p>
      <w:r>
        <w:t xml:space="preserve">Rashodi za plaće su povećani za 16,3 % radi povećanja plaća po TKU.</w:t>
      </w:r>
    </w:p>
    <w:p>
      <w:r>
        <w:t xml:space="preserve">Rashodi za službena putovanja, skupina 3211 su smanjeni za 20,2% jer su u izvještajnom razdoblju nije bilo putovanja vezanih za Erasmus projekt.</w:t>
      </w:r>
    </w:p>
    <w:p>
      <w:r>
        <w:t xml:space="preserve">Rashodi na skupini 3232 su povećani za 439,7 % radi već spomenutih radova na održavanju objekta i opreme.</w:t>
      </w:r>
    </w:p>
    <w:p>
      <w:r>
        <w:t xml:space="preserve">Rashodi na skupini 3223 su povećani za 9,6% radi povećanja cijene el. energije.</w:t>
      </w:r>
    </w:p>
    <w:p>
      <w:r>
        <w:t xml:space="preserve">Rashodi na skupini 3224 su povećani za 55,8 % jer smo nastavili sa zamjenom rasvjetnih tijela s energetski učinkovitijim, kako bi ubuduće imali manji trošak električne energije.</w:t>
      </w:r>
    </w:p>
    <w:p>
      <w:r>
        <w:t xml:space="preserve">Rashodi na skupini 3225 su smanjeni za 74,4% radi manje nabavke sitnog inventara u 2025.</w:t>
      </w:r>
    </w:p>
    <w:p>
      <w:r>
        <w:t xml:space="preserve">Rashodi na skupini 3232 su smanjeni za 70,5% radi manjeg ulaganja u školsku zgradu u odnosu na prethodno razdoblje.</w:t>
      </w:r>
    </w:p>
    <w:p>
      <w:r>
        <w:t xml:space="preserve">Rashodi na skupini 3237 su povećani za 11,8% radi novih zakonskih oveza vezanih za procjenu sigurnosti.</w:t>
      </w:r>
    </w:p>
    <w:p>
      <w:r>
        <w:t xml:space="preserve">Rashodi na skupini 3239 su veći za 409,8% radi angažiranja čuvara u prvih 6 mjeseci. Od početka školske godine 2025/2026 imamo zaposlenu Osobu za sigurnost.</w:t>
      </w:r>
    </w:p>
    <w:p>
      <w:r>
        <w:t xml:space="preserve">Rashodi  na skupini 3231 su smanjeni za 20,5% jer od 26.08.2025. škola posluje u sustavu jedinstene Riznice grada Splita, pa nema vlastitih bankarskih naknada.</w:t>
      </w:r>
    </w:p>
    <w:p>
      <w:r>
        <w:t xml:space="preserve">Prihoda na skupini 7211 više nema jer su oba stana otplaćena .</w:t>
      </w:r>
    </w:p>
    <w:p>
      <w:r>
        <w:t xml:space="preserve">Rashodi na skupini 4221 su  povećani za 81,7% jer smo kupili računala - laptope za 1 učionicu informatike. Računala smo kupili dijelom iz vlastitih sredstava, a dijelom su financiranja iz decentraliziranih sredstava osnivača.</w:t>
      </w:r>
    </w:p>
    <w:p>
      <w:r>
        <w:t xml:space="preserve">Rashodi na skupini 4223 su povećani za 43,9% jer je nabavljena oprema za održavanje objekta.</w:t>
      </w:r>
    </w:p>
    <w:p>
      <w:r>
        <w:t xml:space="preserve"> </w:t>
      </w:r>
    </w:p>
    <w:p>
      <w:r>
        <w:t xml:space="preserve">1.       Obrazac BIL za razdoblje 01. 01. 2025 - 31. 12. 2025</w:t>
      </w:r>
    </w:p>
    <w:p>
      <w:r>
        <w:t xml:space="preserve">U 2025 su nabavljena  3 nova klima uređaja, novi laptopi, oprema i stroj za održavanje zgrade, te knjige za knjižnicu i razni sitni inventar.</w:t>
      </w:r>
    </w:p>
    <w:p>
      <w:r>
        <w:t xml:space="preserve">Financijska imovina je za 4,8% manja jer škola od 26.08.2025 posluje u sustavu Riznice osnivača.</w:t>
      </w:r>
    </w:p>
    <w:p>
      <w:r>
        <w:t xml:space="preserve">Šifra 129-ostala potraživanja su manja za 76,9%  radi smanjenja potraživanja za bolovanje na teret HZZO.</w:t>
      </w:r>
    </w:p>
    <w:p>
      <w:r>
        <w:t xml:space="preserve">Šifra 165 je veća za 17,8% radi lošije naplate prihoda za sufinanciranje produženog boravka, jer dio roditelja ima problema s aplikacijom za uplate.</w:t>
      </w:r>
    </w:p>
    <w:p>
      <w:r>
        <w:t xml:space="preserve">U 2025 smo otpisali 968,87€ nenaplaćenih potraživanja od roditelja.</w:t>
      </w:r>
    </w:p>
    <w:p>
      <w:r>
        <w:t xml:space="preserve">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ukupnih obveza je 223.523,08.   Najveći udio u obvezama predstavljaju obveze za zaposlene, tj. za plaću i materijalna prava za 12/2025.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EU obrazac na Izvoru 561 se odnosi na troškove plaća  i materijalnih prava u sklopu projekta Spomoćnikom mogu bolje 7 koji provodi Osnivač - Grad Split</w:t>
      </w:r>
    </w:p>
    <w:p>
      <w:r>
        <w:t xml:space="preserve">Eu obrazac na Izvoru  510 se odnosi na troškove bankarskih naknada za izdvojeni račun preko kojeg je škola pratila EU projekte.  Zadnji projekt je završen u 2023g.</w:t>
      </w:r>
    </w:p>
    <w:p>
      <w:r>
        <w:t xml:space="preserve">Ulaskom u sustav Riznice grada Splita, više nećemo imati troška za bankarske naknade.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59f95048e444760" /></Relationships>
</file>